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164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17EA3" w:rsidRPr="00617EA3" w:rsidRDefault="003109B8" w:rsidP="00164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617EA3" w:rsidRPr="00617EA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617EA3" w:rsidRPr="00617EA3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617EA3" w:rsidRPr="00617EA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17EA3" w:rsidRPr="00617EA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№427</w:t>
      </w:r>
    </w:p>
    <w:p w:rsidR="00617EA3" w:rsidRPr="00617EA3" w:rsidRDefault="00617EA3" w:rsidP="00164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EA3">
        <w:rPr>
          <w:rFonts w:ascii="Times New Roman" w:hAnsi="Times New Roman" w:cs="Times New Roman"/>
          <w:sz w:val="24"/>
          <w:szCs w:val="24"/>
        </w:rPr>
        <w:t>(реестровый номер торгов 445)</w:t>
      </w:r>
    </w:p>
    <w:p w:rsidR="00C141BA" w:rsidRPr="00617EA3" w:rsidRDefault="0097487F" w:rsidP="00164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164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164D3F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17EA3" w:rsidRDefault="00114097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17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Организатором открытого конкурса было получено и зарегистрировано 3 (три) заявки.</w:t>
      </w:r>
    </w:p>
    <w:p w:rsidR="00506391" w:rsidRDefault="00506391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E9" w:rsidRPr="00715C8A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05"/>
        <w:gridCol w:w="1803"/>
        <w:gridCol w:w="2360"/>
        <w:gridCol w:w="1403"/>
      </w:tblGrid>
      <w:tr w:rsidR="003C5B6E" w:rsidRPr="00715C8A" w:rsidTr="00715C8A">
        <w:trPr>
          <w:trHeight w:val="280"/>
        </w:trPr>
        <w:tc>
          <w:tcPr>
            <w:tcW w:w="2092" w:type="pct"/>
            <w:vMerge w:val="restart"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908" w:type="pct"/>
            <w:gridSpan w:val="3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C5B6E" w:rsidRPr="00715C8A" w:rsidTr="00715C8A">
        <w:trPr>
          <w:trHeight w:val="1264"/>
        </w:trPr>
        <w:tc>
          <w:tcPr>
            <w:tcW w:w="2092" w:type="pct"/>
            <w:vMerge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4076EE" w:rsidRPr="004076EE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«Вектор»</w:t>
            </w:r>
          </w:p>
          <w:p w:rsidR="003C5B6E" w:rsidRPr="00715C8A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101000, г</w:t>
            </w:r>
            <w:proofErr w:type="gram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осква, </w:t>
            </w:r>
            <w:proofErr w:type="spell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ул.Маросейка</w:t>
            </w:r>
            <w:proofErr w:type="spell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, д.7/8, стр.1</w:t>
            </w:r>
          </w:p>
        </w:tc>
        <w:tc>
          <w:tcPr>
            <w:tcW w:w="12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  <w:tc>
          <w:tcPr>
            <w:tcW w:w="7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«АРТЭК»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300045,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ула,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ул.Кауля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д.12,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</w:tr>
      <w:tr w:rsidR="003C5B6E" w:rsidRPr="00715C8A" w:rsidTr="00715C8A">
        <w:trPr>
          <w:trHeight w:val="271"/>
        </w:trPr>
        <w:tc>
          <w:tcPr>
            <w:tcW w:w="2092" w:type="pct"/>
          </w:tcPr>
          <w:p w:rsidR="003C5B6E" w:rsidRPr="00715C8A" w:rsidRDefault="003C5B6E" w:rsidP="00164D3F">
            <w:pPr>
              <w:pStyle w:val="a5"/>
              <w:tabs>
                <w:tab w:val="left" w:pos="2517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942" w:type="pct"/>
          </w:tcPr>
          <w:p w:rsidR="003C5B6E" w:rsidRPr="00715C8A" w:rsidRDefault="00EE11A6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2A3AE9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keepNext/>
              <w:keepLines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2127" w:type="dxa"/>
          </w:tcPr>
          <w:p w:rsidR="00715C8A" w:rsidRPr="002A3AE9" w:rsidRDefault="00E062E1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</w:tr>
    </w:tbl>
    <w:p w:rsidR="00715C8A" w:rsidRPr="00C52718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164D3F" w:rsidRPr="00C52718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2A3AE9">
        <w:rPr>
          <w:rFonts w:ascii="Times New Roman" w:hAnsi="Times New Roman" w:cs="Times New Roman"/>
          <w:sz w:val="24"/>
          <w:szCs w:val="24"/>
        </w:rPr>
        <w:t>з</w:t>
      </w:r>
      <w:r w:rsidR="002A3AE9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A3AE9">
        <w:rPr>
          <w:rFonts w:ascii="Times New Roman" w:hAnsi="Times New Roman" w:cs="Times New Roman"/>
          <w:sz w:val="24"/>
          <w:szCs w:val="24"/>
        </w:rPr>
        <w:t>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2A3AE9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2A3AE9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AE9" w:rsidRPr="002A3AE9">
        <w:rPr>
          <w:rFonts w:ascii="Times New Roman" w:hAnsi="Times New Roman" w:cs="Times New Roman"/>
          <w:sz w:val="24"/>
          <w:szCs w:val="24"/>
        </w:rPr>
        <w:t>АРТЭК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164D3F" w:rsidRPr="00164D3F">
        <w:rPr>
          <w:rFonts w:ascii="Times New Roman" w:hAnsi="Times New Roman" w:cs="Times New Roman"/>
          <w:sz w:val="24"/>
          <w:szCs w:val="24"/>
        </w:rPr>
        <w:t>492 900,00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164D3F">
        <w:rPr>
          <w:rFonts w:ascii="Times New Roman" w:hAnsi="Times New Roman" w:cs="Times New Roman"/>
          <w:sz w:val="24"/>
          <w:szCs w:val="24"/>
        </w:rPr>
        <w:t>четыреста девяносто две тысячи девятьсот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A3AE9">
        <w:rPr>
          <w:rFonts w:ascii="Times New Roman" w:eastAsia="Calibri" w:hAnsi="Times New Roman" w:cs="Times New Roman"/>
          <w:sz w:val="24"/>
          <w:szCs w:val="24"/>
        </w:rPr>
        <w:lastRenderedPageBreak/>
        <w:t>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164D3F" w:rsidRPr="00164D3F">
        <w:rPr>
          <w:rFonts w:ascii="Times New Roman" w:hAnsi="Times New Roman" w:cs="Times New Roman"/>
          <w:sz w:val="24"/>
          <w:szCs w:val="24"/>
        </w:rPr>
        <w:t>492 900,00</w:t>
      </w:r>
      <w:r w:rsidR="00164D3F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164D3F">
        <w:rPr>
          <w:rFonts w:ascii="Times New Roman" w:hAnsi="Times New Roman" w:cs="Times New Roman"/>
          <w:sz w:val="24"/>
          <w:szCs w:val="24"/>
        </w:rPr>
        <w:t>четыреста девяносто две тысячи девятьсот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4D3F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076EE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EA3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46F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F597-A425-4A9E-8783-9B83D10E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</cp:revision>
  <cp:lastPrinted>2015-12-10T13:55:00Z</cp:lastPrinted>
  <dcterms:created xsi:type="dcterms:W3CDTF">2016-05-31T14:24:00Z</dcterms:created>
  <dcterms:modified xsi:type="dcterms:W3CDTF">2016-06-01T10:53:00Z</dcterms:modified>
</cp:coreProperties>
</file>